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EF22" w14:textId="77777777" w:rsidR="0080405B" w:rsidRPr="0080405B" w:rsidRDefault="0080405B" w:rsidP="0080405B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80405B">
        <w:rPr>
          <w:color w:val="auto"/>
        </w:rPr>
        <w:t>Plan de Comunicaciones Culturales</w:t>
      </w:r>
    </w:p>
    <w:p w14:paraId="2F13B0BD" w14:textId="77777777" w:rsidR="0080405B" w:rsidRDefault="0080405B" w:rsidP="0080405B">
      <w:pPr>
        <w:pStyle w:val="NormalWeb"/>
        <w:spacing w:line="480" w:lineRule="auto"/>
      </w:pPr>
      <w:r>
        <w:rPr>
          <w:rStyle w:val="Textoennegrita"/>
        </w:rPr>
        <w:t>1. Propósito del plan de comunicaciones</w:t>
      </w:r>
    </w:p>
    <w:p w14:paraId="216FFDC8" w14:textId="77777777" w:rsidR="0080405B" w:rsidRDefault="0080405B" w:rsidP="0080405B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Explicación:</w:t>
      </w:r>
      <w:r>
        <w:t xml:space="preserve"> Establece cómo, cuándo y a través de qué medios se compartirá la información del proyecto entre los actores involucrados. En proyectos culturales es clave incluir canales comunitarios y formas tradicionales de comunicación.</w:t>
      </w:r>
    </w:p>
    <w:p w14:paraId="6067A132" w14:textId="77777777" w:rsidR="0080405B" w:rsidRDefault="0080405B" w:rsidP="0080405B">
      <w:pPr>
        <w:pStyle w:val="NormalWeb"/>
        <w:numPr>
          <w:ilvl w:val="0"/>
          <w:numId w:val="6"/>
        </w:numPr>
        <w:spacing w:line="480" w:lineRule="auto"/>
      </w:pPr>
      <w:r>
        <w:rPr>
          <w:rStyle w:val="Textoennegrita"/>
        </w:rPr>
        <w:t>Ejemplo:</w:t>
      </w:r>
      <w:r>
        <w:t xml:space="preserve"> El plan garantiza que la comunidad reciba información clara y oportuna mediante asambleas, perifoneo, radio comunitaria y WhatsApp.</w:t>
      </w:r>
    </w:p>
    <w:p w14:paraId="029FD635" w14:textId="77777777" w:rsidR="0080405B" w:rsidRDefault="0080405B" w:rsidP="0080405B">
      <w:pPr>
        <w:pStyle w:val="NormalWeb"/>
        <w:spacing w:line="480" w:lineRule="auto"/>
      </w:pPr>
      <w:r>
        <w:rPr>
          <w:rStyle w:val="Textoennegrita"/>
        </w:rPr>
        <w:t>2. Objetivos de la comunicación</w:t>
      </w:r>
    </w:p>
    <w:p w14:paraId="48E956F7" w14:textId="77777777" w:rsidR="0080405B" w:rsidRDefault="0080405B" w:rsidP="0080405B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Explicación:</w:t>
      </w:r>
      <w:r>
        <w:t xml:space="preserve"> Definen para qué se comunica el proyecto: informar, motivar, involucrar y rendir cuentas.</w:t>
      </w:r>
    </w:p>
    <w:p w14:paraId="3ABA25EA" w14:textId="77777777" w:rsidR="0080405B" w:rsidRDefault="0080405B" w:rsidP="0080405B">
      <w:pPr>
        <w:pStyle w:val="NormalWeb"/>
        <w:numPr>
          <w:ilvl w:val="0"/>
          <w:numId w:val="7"/>
        </w:numPr>
        <w:spacing w:line="480" w:lineRule="auto"/>
      </w:pPr>
      <w:r>
        <w:rPr>
          <w:rStyle w:val="Textoennegrita"/>
        </w:rPr>
        <w:t>Ejemplo:</w:t>
      </w:r>
    </w:p>
    <w:p w14:paraId="124D46DF" w14:textId="77777777" w:rsidR="0080405B" w:rsidRDefault="0080405B" w:rsidP="0080405B">
      <w:pPr>
        <w:pStyle w:val="NormalWeb"/>
        <w:numPr>
          <w:ilvl w:val="1"/>
          <w:numId w:val="7"/>
        </w:numPr>
        <w:spacing w:line="480" w:lineRule="auto"/>
      </w:pPr>
      <w:r>
        <w:t>Asegurar que todos los actores conozcan las actividades y avances.</w:t>
      </w:r>
    </w:p>
    <w:p w14:paraId="39A489B7" w14:textId="77777777" w:rsidR="0080405B" w:rsidRDefault="0080405B" w:rsidP="0080405B">
      <w:pPr>
        <w:pStyle w:val="NormalWeb"/>
        <w:numPr>
          <w:ilvl w:val="1"/>
          <w:numId w:val="7"/>
        </w:numPr>
        <w:spacing w:line="480" w:lineRule="auto"/>
      </w:pPr>
      <w:r>
        <w:t>Motivar la participación activa de gestores culturales y comunidad.</w:t>
      </w:r>
    </w:p>
    <w:p w14:paraId="78440DDD" w14:textId="77777777" w:rsidR="0080405B" w:rsidRDefault="0080405B" w:rsidP="0080405B">
      <w:pPr>
        <w:pStyle w:val="NormalWeb"/>
        <w:numPr>
          <w:ilvl w:val="1"/>
          <w:numId w:val="7"/>
        </w:numPr>
        <w:spacing w:line="480" w:lineRule="auto"/>
      </w:pPr>
      <w:r>
        <w:t>Generar confianza y transparencia en el uso de los recursos.</w:t>
      </w:r>
    </w:p>
    <w:p w14:paraId="65D4D610" w14:textId="77777777" w:rsidR="0080405B" w:rsidRDefault="0080405B" w:rsidP="0080405B">
      <w:pPr>
        <w:pStyle w:val="NormalWeb"/>
        <w:spacing w:line="480" w:lineRule="auto"/>
      </w:pPr>
      <w:r>
        <w:rPr>
          <w:rStyle w:val="Textoennegrita"/>
        </w:rPr>
        <w:t>3. Canales de comunicación</w:t>
      </w:r>
    </w:p>
    <w:p w14:paraId="31250A8A" w14:textId="77777777" w:rsidR="0080405B" w:rsidRDefault="0080405B" w:rsidP="0080405B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Explicación:</w:t>
      </w:r>
      <w:r>
        <w:t xml:space="preserve"> Medios a través de los cuales se transmitirá la información. Deben combinarse los formales e institucionales con los comunitarios y tradicionales.</w:t>
      </w:r>
    </w:p>
    <w:p w14:paraId="75122B18" w14:textId="77777777" w:rsidR="0080405B" w:rsidRDefault="0080405B" w:rsidP="0080405B">
      <w:pPr>
        <w:pStyle w:val="NormalWeb"/>
        <w:numPr>
          <w:ilvl w:val="0"/>
          <w:numId w:val="8"/>
        </w:numPr>
        <w:spacing w:line="480" w:lineRule="auto"/>
      </w:pPr>
      <w:r>
        <w:rPr>
          <w:rStyle w:val="Textoennegrita"/>
        </w:rPr>
        <w:t>Ejemplo:</w:t>
      </w:r>
    </w:p>
    <w:p w14:paraId="550C2530" w14:textId="77777777" w:rsidR="0080405B" w:rsidRDefault="0080405B" w:rsidP="0080405B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t>Formales:</w:t>
      </w:r>
      <w:r>
        <w:t xml:space="preserve"> informes escritos, correos electrónicos, oficios institucionales.</w:t>
      </w:r>
    </w:p>
    <w:p w14:paraId="4DFB8AD0" w14:textId="77777777" w:rsidR="0080405B" w:rsidRDefault="0080405B" w:rsidP="0080405B">
      <w:pPr>
        <w:pStyle w:val="NormalWeb"/>
        <w:numPr>
          <w:ilvl w:val="1"/>
          <w:numId w:val="8"/>
        </w:numPr>
        <w:spacing w:line="480" w:lineRule="auto"/>
      </w:pPr>
      <w:r>
        <w:rPr>
          <w:rStyle w:val="Textoennegrita"/>
        </w:rPr>
        <w:lastRenderedPageBreak/>
        <w:t>Comunitarios:</w:t>
      </w:r>
      <w:r>
        <w:t xml:space="preserve"> asambleas, radio comunitaria, perifoneo local, grupos de WhatsApp, </w:t>
      </w:r>
      <w:proofErr w:type="spellStart"/>
      <w:r>
        <w:t>cuentería</w:t>
      </w:r>
      <w:proofErr w:type="spellEnd"/>
      <w:r>
        <w:t xml:space="preserve"> oral.</w:t>
      </w:r>
    </w:p>
    <w:p w14:paraId="46092860" w14:textId="77777777" w:rsidR="0080405B" w:rsidRDefault="0080405B" w:rsidP="0080405B">
      <w:pPr>
        <w:pStyle w:val="NormalWeb"/>
        <w:spacing w:line="480" w:lineRule="auto"/>
      </w:pPr>
      <w:r>
        <w:rPr>
          <w:rStyle w:val="Textoennegrita"/>
        </w:rPr>
        <w:t>4. Lenguajes pertinentes</w:t>
      </w:r>
    </w:p>
    <w:p w14:paraId="685ECA68" w14:textId="77777777" w:rsidR="0080405B" w:rsidRDefault="0080405B" w:rsidP="0080405B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Explicación:</w:t>
      </w:r>
      <w:r>
        <w:t xml:space="preserve"> El lenguaje debe ser comprensible para todos los actores, evitando tecnicismos innecesarios. Se pueden usar materiales gráficos y audiovisuales.</w:t>
      </w:r>
    </w:p>
    <w:p w14:paraId="1787E854" w14:textId="77777777" w:rsidR="0080405B" w:rsidRDefault="0080405B" w:rsidP="0080405B">
      <w:pPr>
        <w:pStyle w:val="NormalWeb"/>
        <w:numPr>
          <w:ilvl w:val="0"/>
          <w:numId w:val="9"/>
        </w:numPr>
        <w:spacing w:line="480" w:lineRule="auto"/>
      </w:pPr>
      <w:r>
        <w:rPr>
          <w:rStyle w:val="Textoennegrita"/>
        </w:rPr>
        <w:t>Ejemplo:</w:t>
      </w:r>
      <w:r>
        <w:t xml:space="preserve"> Infografías simples para explicar el cronograma, videos cortos en redes sociales y traducciones a lenguas propias cuando sea necesario.</w:t>
      </w:r>
    </w:p>
    <w:p w14:paraId="53E88B3F" w14:textId="77777777" w:rsidR="0080405B" w:rsidRDefault="0080405B" w:rsidP="0080405B">
      <w:pPr>
        <w:pStyle w:val="NormalWeb"/>
      </w:pPr>
      <w:r>
        <w:rPr>
          <w:rStyle w:val="Textoennegrita"/>
        </w:rPr>
        <w:t>5. Matriz de comunicaciones (ejemplo de tabla)</w:t>
      </w:r>
    </w:p>
    <w:tbl>
      <w:tblPr>
        <w:tblStyle w:val="APA7"/>
        <w:tblW w:w="0" w:type="auto"/>
        <w:tblLook w:val="04A0" w:firstRow="1" w:lastRow="0" w:firstColumn="1" w:lastColumn="0" w:noHBand="0" w:noVBand="1"/>
      </w:tblPr>
      <w:tblGrid>
        <w:gridCol w:w="1905"/>
        <w:gridCol w:w="2051"/>
        <w:gridCol w:w="1868"/>
        <w:gridCol w:w="1349"/>
        <w:gridCol w:w="1665"/>
      </w:tblGrid>
      <w:tr w:rsidR="0080405B" w:rsidRPr="005F5D7B" w14:paraId="4FD21C26" w14:textId="77777777" w:rsidTr="008A0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1B32DA96" w14:textId="77777777" w:rsidR="0080405B" w:rsidRPr="005F5D7B" w:rsidRDefault="0080405B" w:rsidP="008A01E3">
            <w:pPr>
              <w:jc w:val="center"/>
              <w:rPr>
                <w:b/>
                <w:bCs/>
                <w:lang w:eastAsia="es-MX"/>
              </w:rPr>
            </w:pPr>
            <w:r w:rsidRPr="005F5D7B">
              <w:rPr>
                <w:b/>
                <w:bCs/>
                <w:lang w:eastAsia="es-MX"/>
              </w:rPr>
              <w:t>Actor / interesado</w:t>
            </w:r>
          </w:p>
        </w:tc>
        <w:tc>
          <w:tcPr>
            <w:tcW w:w="0" w:type="auto"/>
            <w:hideMark/>
          </w:tcPr>
          <w:p w14:paraId="08F87926" w14:textId="77777777" w:rsidR="0080405B" w:rsidRPr="005F5D7B" w:rsidRDefault="0080405B" w:rsidP="008A01E3">
            <w:pPr>
              <w:jc w:val="center"/>
              <w:rPr>
                <w:b/>
                <w:bCs/>
                <w:lang w:eastAsia="es-MX"/>
              </w:rPr>
            </w:pPr>
            <w:r w:rsidRPr="005F5D7B">
              <w:rPr>
                <w:b/>
                <w:bCs/>
                <w:lang w:eastAsia="es-MX"/>
              </w:rPr>
              <w:t>Tipo de información</w:t>
            </w:r>
          </w:p>
        </w:tc>
        <w:tc>
          <w:tcPr>
            <w:tcW w:w="0" w:type="auto"/>
            <w:hideMark/>
          </w:tcPr>
          <w:p w14:paraId="3F4C5350" w14:textId="77777777" w:rsidR="0080405B" w:rsidRPr="005F5D7B" w:rsidRDefault="0080405B" w:rsidP="008A01E3">
            <w:pPr>
              <w:jc w:val="center"/>
              <w:rPr>
                <w:b/>
                <w:bCs/>
                <w:lang w:eastAsia="es-MX"/>
              </w:rPr>
            </w:pPr>
            <w:r w:rsidRPr="005F5D7B">
              <w:rPr>
                <w:b/>
                <w:bCs/>
                <w:lang w:eastAsia="es-MX"/>
              </w:rPr>
              <w:t>Canal</w:t>
            </w:r>
          </w:p>
        </w:tc>
        <w:tc>
          <w:tcPr>
            <w:tcW w:w="0" w:type="auto"/>
            <w:hideMark/>
          </w:tcPr>
          <w:p w14:paraId="6E24F9DA" w14:textId="77777777" w:rsidR="0080405B" w:rsidRPr="005F5D7B" w:rsidRDefault="0080405B" w:rsidP="008A01E3">
            <w:pPr>
              <w:jc w:val="center"/>
              <w:rPr>
                <w:b/>
                <w:bCs/>
                <w:lang w:eastAsia="es-MX"/>
              </w:rPr>
            </w:pPr>
            <w:r w:rsidRPr="005F5D7B">
              <w:rPr>
                <w:b/>
                <w:bCs/>
                <w:lang w:eastAsia="es-MX"/>
              </w:rPr>
              <w:t>Frecuencia</w:t>
            </w:r>
          </w:p>
        </w:tc>
        <w:tc>
          <w:tcPr>
            <w:tcW w:w="0" w:type="auto"/>
            <w:hideMark/>
          </w:tcPr>
          <w:p w14:paraId="1B921F93" w14:textId="77777777" w:rsidR="0080405B" w:rsidRPr="005F5D7B" w:rsidRDefault="0080405B" w:rsidP="008A01E3">
            <w:pPr>
              <w:jc w:val="center"/>
              <w:rPr>
                <w:b/>
                <w:bCs/>
                <w:lang w:eastAsia="es-MX"/>
              </w:rPr>
            </w:pPr>
            <w:r w:rsidRPr="005F5D7B">
              <w:rPr>
                <w:b/>
                <w:bCs/>
                <w:lang w:eastAsia="es-MX"/>
              </w:rPr>
              <w:t>Responsable</w:t>
            </w:r>
          </w:p>
        </w:tc>
      </w:tr>
      <w:tr w:rsidR="0080405B" w:rsidRPr="005F5D7B" w14:paraId="0442C17F" w14:textId="77777777" w:rsidTr="008A01E3">
        <w:tc>
          <w:tcPr>
            <w:tcW w:w="0" w:type="auto"/>
            <w:hideMark/>
          </w:tcPr>
          <w:p w14:paraId="4A8EBE2A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Gestores culturales</w:t>
            </w:r>
          </w:p>
        </w:tc>
        <w:tc>
          <w:tcPr>
            <w:tcW w:w="0" w:type="auto"/>
            <w:hideMark/>
          </w:tcPr>
          <w:p w14:paraId="61221B5C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Invitaciones, cronograma, materiales de formación</w:t>
            </w:r>
          </w:p>
        </w:tc>
        <w:tc>
          <w:tcPr>
            <w:tcW w:w="0" w:type="auto"/>
            <w:hideMark/>
          </w:tcPr>
          <w:p w14:paraId="74808AE9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WhatsApp, correo electrónico</w:t>
            </w:r>
          </w:p>
        </w:tc>
        <w:tc>
          <w:tcPr>
            <w:tcW w:w="0" w:type="auto"/>
            <w:hideMark/>
          </w:tcPr>
          <w:p w14:paraId="025DFB78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Semanal</w:t>
            </w:r>
          </w:p>
        </w:tc>
        <w:tc>
          <w:tcPr>
            <w:tcW w:w="0" w:type="auto"/>
            <w:hideMark/>
          </w:tcPr>
          <w:p w14:paraId="6A84D095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Coordinador del proyecto</w:t>
            </w:r>
          </w:p>
        </w:tc>
      </w:tr>
      <w:tr w:rsidR="0080405B" w:rsidRPr="005F5D7B" w14:paraId="0DFA9901" w14:textId="77777777" w:rsidTr="008A01E3">
        <w:tc>
          <w:tcPr>
            <w:tcW w:w="0" w:type="auto"/>
            <w:hideMark/>
          </w:tcPr>
          <w:p w14:paraId="1005D5B2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Comunidad local</w:t>
            </w:r>
          </w:p>
        </w:tc>
        <w:tc>
          <w:tcPr>
            <w:tcW w:w="0" w:type="auto"/>
            <w:hideMark/>
          </w:tcPr>
          <w:p w14:paraId="4AE3B5C0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Avances, resultados, convocatorias</w:t>
            </w:r>
          </w:p>
        </w:tc>
        <w:tc>
          <w:tcPr>
            <w:tcW w:w="0" w:type="auto"/>
            <w:hideMark/>
          </w:tcPr>
          <w:p w14:paraId="1CC06769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Asamblea comunitaria, perifoneo, radio local</w:t>
            </w:r>
          </w:p>
        </w:tc>
        <w:tc>
          <w:tcPr>
            <w:tcW w:w="0" w:type="auto"/>
            <w:hideMark/>
          </w:tcPr>
          <w:p w14:paraId="1C4BE6C3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Mensual</w:t>
            </w:r>
          </w:p>
        </w:tc>
        <w:tc>
          <w:tcPr>
            <w:tcW w:w="0" w:type="auto"/>
            <w:hideMark/>
          </w:tcPr>
          <w:p w14:paraId="26E0827C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Líder comunitario</w:t>
            </w:r>
          </w:p>
        </w:tc>
      </w:tr>
      <w:tr w:rsidR="0080405B" w:rsidRPr="005F5D7B" w14:paraId="6745D5AB" w14:textId="77777777" w:rsidTr="008A01E3">
        <w:tc>
          <w:tcPr>
            <w:tcW w:w="0" w:type="auto"/>
            <w:hideMark/>
          </w:tcPr>
          <w:p w14:paraId="61CC798D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Instituciones (</w:t>
            </w:r>
            <w:proofErr w:type="spellStart"/>
            <w:r w:rsidRPr="005F5D7B">
              <w:rPr>
                <w:lang w:eastAsia="es-MX"/>
              </w:rPr>
              <w:t>MinCultura</w:t>
            </w:r>
            <w:proofErr w:type="spellEnd"/>
            <w:r w:rsidRPr="005F5D7B">
              <w:rPr>
                <w:lang w:eastAsia="es-MX"/>
              </w:rPr>
              <w:t>, Gobernación)</w:t>
            </w:r>
          </w:p>
        </w:tc>
        <w:tc>
          <w:tcPr>
            <w:tcW w:w="0" w:type="auto"/>
            <w:hideMark/>
          </w:tcPr>
          <w:p w14:paraId="7C600D48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Informes técnicos y financieros</w:t>
            </w:r>
          </w:p>
        </w:tc>
        <w:tc>
          <w:tcPr>
            <w:tcW w:w="0" w:type="auto"/>
            <w:hideMark/>
          </w:tcPr>
          <w:p w14:paraId="0BEA750D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Correo oficial, reuniones de seguimiento</w:t>
            </w:r>
          </w:p>
        </w:tc>
        <w:tc>
          <w:tcPr>
            <w:tcW w:w="0" w:type="auto"/>
            <w:hideMark/>
          </w:tcPr>
          <w:p w14:paraId="3C992ACC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Bimestral</w:t>
            </w:r>
          </w:p>
        </w:tc>
        <w:tc>
          <w:tcPr>
            <w:tcW w:w="0" w:type="auto"/>
            <w:hideMark/>
          </w:tcPr>
          <w:p w14:paraId="5B0B9AFD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Coordinador técnico</w:t>
            </w:r>
          </w:p>
        </w:tc>
      </w:tr>
      <w:tr w:rsidR="0080405B" w:rsidRPr="005F5D7B" w14:paraId="25E1DA00" w14:textId="77777777" w:rsidTr="008A01E3">
        <w:tc>
          <w:tcPr>
            <w:tcW w:w="0" w:type="auto"/>
            <w:hideMark/>
          </w:tcPr>
          <w:p w14:paraId="7D22E153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Sabedores y líderes tradicionales</w:t>
            </w:r>
          </w:p>
        </w:tc>
        <w:tc>
          <w:tcPr>
            <w:tcW w:w="0" w:type="auto"/>
            <w:hideMark/>
          </w:tcPr>
          <w:p w14:paraId="3E2B360C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Validación cultural de avances</w:t>
            </w:r>
          </w:p>
        </w:tc>
        <w:tc>
          <w:tcPr>
            <w:tcW w:w="0" w:type="auto"/>
            <w:hideMark/>
          </w:tcPr>
          <w:p w14:paraId="1AC53ECE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Reunión presencial, palabra oral</w:t>
            </w:r>
          </w:p>
        </w:tc>
        <w:tc>
          <w:tcPr>
            <w:tcW w:w="0" w:type="auto"/>
            <w:hideMark/>
          </w:tcPr>
          <w:p w14:paraId="1C073383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Según hitos</w:t>
            </w:r>
          </w:p>
        </w:tc>
        <w:tc>
          <w:tcPr>
            <w:tcW w:w="0" w:type="auto"/>
            <w:hideMark/>
          </w:tcPr>
          <w:p w14:paraId="5B4FF7CA" w14:textId="77777777" w:rsidR="0080405B" w:rsidRPr="005F5D7B" w:rsidRDefault="0080405B" w:rsidP="008A01E3">
            <w:pPr>
              <w:rPr>
                <w:lang w:eastAsia="es-MX"/>
              </w:rPr>
            </w:pPr>
            <w:r w:rsidRPr="005F5D7B">
              <w:rPr>
                <w:lang w:eastAsia="es-MX"/>
              </w:rPr>
              <w:t>Coordinador cultural</w:t>
            </w:r>
          </w:p>
        </w:tc>
      </w:tr>
    </w:tbl>
    <w:p w14:paraId="6474EEC4" w14:textId="77777777" w:rsidR="0080405B" w:rsidRDefault="0080405B" w:rsidP="0080405B"/>
    <w:p w14:paraId="74F8BAF4" w14:textId="77777777" w:rsidR="0080405B" w:rsidRDefault="0080405B" w:rsidP="0080405B">
      <w:pPr>
        <w:pStyle w:val="NormalWeb"/>
      </w:pPr>
      <w:r>
        <w:rPr>
          <w:rStyle w:val="Textoennegrita"/>
        </w:rPr>
        <w:t>6. Estrategias de transparencia y participación</w:t>
      </w:r>
    </w:p>
    <w:p w14:paraId="0529161C" w14:textId="77777777" w:rsidR="0080405B" w:rsidRDefault="0080405B" w:rsidP="0080405B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cómo garantizar que la comunidad pueda opinar y dar seguimiento al proyecto.</w:t>
      </w:r>
    </w:p>
    <w:p w14:paraId="40A151EB" w14:textId="4FCDE9FA" w:rsidR="00616754" w:rsidRPr="0080405B" w:rsidRDefault="0080405B" w:rsidP="0080405B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  <w:r>
        <w:t xml:space="preserve"> Presentación de informes en asambleas abiertas y mecanismos de retroalimentación comunitaria para ajustar actividades.</w:t>
      </w:r>
    </w:p>
    <w:sectPr w:rsidR="00616754" w:rsidRPr="008040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B16E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B5507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4F46B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F3E9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F4452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8144F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B2094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E53F3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CF2F0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A16E1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54"/>
    <w:rsid w:val="00616754"/>
    <w:rsid w:val="006B1276"/>
    <w:rsid w:val="0080405B"/>
    <w:rsid w:val="00C62193"/>
    <w:rsid w:val="00E4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87F7"/>
  <w15:chartTrackingRefBased/>
  <w15:docId w15:val="{20BAEF10-CC4C-A544-A689-E8A09EEA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1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6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6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6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6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6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67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67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67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67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67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67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67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1675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167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6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67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675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0405B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eastAsia="es-ES"/>
      <w14:ligatures w14:val="none"/>
    </w:rPr>
  </w:style>
  <w:style w:type="character" w:styleId="Textoennegrita">
    <w:name w:val="Strong"/>
    <w:basedOn w:val="Fuentedeprrafopredeter"/>
    <w:uiPriority w:val="22"/>
    <w:qFormat/>
    <w:rsid w:val="0080405B"/>
    <w:rPr>
      <w:b/>
      <w:bCs/>
    </w:rPr>
  </w:style>
  <w:style w:type="table" w:customStyle="1" w:styleId="APA7">
    <w:name w:val="APA 7"/>
    <w:basedOn w:val="Tablanormal"/>
    <w:uiPriority w:val="99"/>
    <w:rsid w:val="0080405B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  <w:tblPr>
      <w:tblBorders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72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YEIDER GERARDO ARBOLEDA IBARGUEN</dc:creator>
  <cp:keywords/>
  <dc:description/>
  <cp:lastModifiedBy>paola fernanda viveros posso</cp:lastModifiedBy>
  <cp:revision>5</cp:revision>
  <dcterms:created xsi:type="dcterms:W3CDTF">2025-09-16T15:16:00Z</dcterms:created>
  <dcterms:modified xsi:type="dcterms:W3CDTF">2025-10-06T01:48:00Z</dcterms:modified>
</cp:coreProperties>
</file>